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20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547"/>
      </w:tblGrid>
      <w:tr w:rsidR="002C1832" w:rsidRPr="002C1832" w:rsidTr="003B17CA">
        <w:trPr>
          <w:trHeight w:val="356"/>
        </w:trPr>
        <w:tc>
          <w:tcPr>
            <w:tcW w:w="9207" w:type="dxa"/>
            <w:gridSpan w:val="3"/>
          </w:tcPr>
          <w:p w:rsidR="0027046E" w:rsidRPr="002C1832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2C1832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2C1832" w:rsidRPr="002C1832" w:rsidTr="003B17CA">
        <w:trPr>
          <w:trHeight w:val="233"/>
        </w:trPr>
        <w:tc>
          <w:tcPr>
            <w:tcW w:w="9207" w:type="dxa"/>
            <w:gridSpan w:val="3"/>
            <w:tcBorders>
              <w:bottom w:val="nil"/>
            </w:tcBorders>
          </w:tcPr>
          <w:p w:rsidR="0027046E" w:rsidRPr="002C1832" w:rsidRDefault="0027046E" w:rsidP="007365FF">
            <w:pPr>
              <w:rPr>
                <w:rFonts w:ascii="Arial Black" w:hAnsi="Arial Black"/>
                <w:b/>
              </w:rPr>
            </w:pPr>
          </w:p>
        </w:tc>
      </w:tr>
      <w:tr w:rsidR="005E3205" w:rsidRPr="002C1832" w:rsidTr="003B17CA">
        <w:trPr>
          <w:trHeight w:val="218"/>
        </w:trPr>
        <w:tc>
          <w:tcPr>
            <w:tcW w:w="9207" w:type="dxa"/>
            <w:gridSpan w:val="3"/>
            <w:tcBorders>
              <w:bottom w:val="single" w:sz="18" w:space="0" w:color="0070C0"/>
            </w:tcBorders>
          </w:tcPr>
          <w:p w:rsidR="005E3205" w:rsidRDefault="00396282">
            <w:r w:rsidRPr="002C1832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2C1832" w:rsidRPr="002C1832" w:rsidTr="00396282">
        <w:trPr>
          <w:trHeight w:val="420"/>
        </w:trPr>
        <w:tc>
          <w:tcPr>
            <w:tcW w:w="2376" w:type="dxa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2C1832" w:rsidRDefault="00430C58" w:rsidP="00047928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720346">
              <w:rPr>
                <w:b/>
                <w:bCs/>
                <w:color w:val="0066FF"/>
                <w:sz w:val="22"/>
                <w:szCs w:val="36"/>
              </w:rPr>
              <w:t xml:space="preserve">Recombinant </w:t>
            </w:r>
            <w:r w:rsidR="00C33570" w:rsidRPr="00720346">
              <w:rPr>
                <w:b/>
                <w:bCs/>
                <w:color w:val="0066FF"/>
                <w:sz w:val="22"/>
                <w:szCs w:val="36"/>
              </w:rPr>
              <w:t>Human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047928">
              <w:rPr>
                <w:b/>
                <w:bCs/>
                <w:color w:val="0066FF"/>
                <w:sz w:val="22"/>
                <w:szCs w:val="36"/>
              </w:rPr>
              <w:t>Epidermal G</w:t>
            </w:r>
            <w:r w:rsidR="00CF08D1" w:rsidRPr="00047928">
              <w:rPr>
                <w:b/>
                <w:bCs/>
                <w:color w:val="0066FF"/>
                <w:sz w:val="22"/>
                <w:szCs w:val="36"/>
              </w:rPr>
              <w:t xml:space="preserve">rowth </w:t>
            </w:r>
            <w:r w:rsidR="00047928">
              <w:rPr>
                <w:b/>
                <w:bCs/>
                <w:color w:val="0066FF"/>
                <w:sz w:val="22"/>
                <w:szCs w:val="36"/>
              </w:rPr>
              <w:t>F</w:t>
            </w:r>
            <w:r w:rsidR="00CF08D1" w:rsidRPr="00047928">
              <w:rPr>
                <w:b/>
                <w:bCs/>
                <w:color w:val="0066FF"/>
                <w:sz w:val="22"/>
                <w:szCs w:val="36"/>
              </w:rPr>
              <w:t>actor</w:t>
            </w:r>
            <w:r w:rsidR="00CF08D1" w:rsidRPr="00720346">
              <w:rPr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>(</w:t>
            </w:r>
            <w:proofErr w:type="spellStart"/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>r</w:t>
            </w:r>
            <w:r w:rsidR="00C33570" w:rsidRPr="00720346">
              <w:rPr>
                <w:b/>
                <w:bCs/>
                <w:color w:val="0066FF"/>
                <w:sz w:val="22"/>
                <w:szCs w:val="36"/>
              </w:rPr>
              <w:t>h</w:t>
            </w:r>
            <w:r w:rsidR="00047928">
              <w:rPr>
                <w:b/>
                <w:bCs/>
                <w:color w:val="0066FF"/>
                <w:sz w:val="22"/>
                <w:szCs w:val="36"/>
              </w:rPr>
              <w:t>EGF</w:t>
            </w:r>
            <w:proofErr w:type="spellEnd"/>
            <w:r w:rsidRPr="00720346">
              <w:rPr>
                <w:b/>
                <w:bCs/>
                <w:color w:val="0066FF"/>
                <w:sz w:val="22"/>
                <w:szCs w:val="36"/>
              </w:rPr>
              <w:t>)</w:t>
            </w:r>
          </w:p>
        </w:tc>
      </w:tr>
      <w:tr w:rsidR="004A1C42" w:rsidRPr="004A1C42" w:rsidTr="004A4DA9">
        <w:trPr>
          <w:trHeight w:val="265"/>
        </w:trPr>
        <w:tc>
          <w:tcPr>
            <w:tcW w:w="2376" w:type="dxa"/>
            <w:tcBorders>
              <w:top w:val="single" w:sz="18" w:space="0" w:color="0070C0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nil"/>
            </w:tcBorders>
          </w:tcPr>
          <w:p w:rsidR="00A31A0C" w:rsidRPr="00E56F16" w:rsidRDefault="004A4DA9" w:rsidP="004A4DA9">
            <w:pPr>
              <w:tabs>
                <w:tab w:val="num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56F16" w:rsidRPr="00E56F16">
              <w:rPr>
                <w:rFonts w:ascii="Arial" w:hAnsi="Arial" w:cs="Arial"/>
              </w:rPr>
              <w:t>ro-epidermal growth factor</w:t>
            </w:r>
            <w:r>
              <w:rPr>
                <w:rFonts w:ascii="Arial" w:hAnsi="Arial" w:cs="Arial"/>
              </w:rPr>
              <w:t>,</w:t>
            </w:r>
            <w:r w:rsidR="00E56F16" w:rsidRPr="00E56F16">
              <w:rPr>
                <w:rFonts w:ascii="Arial" w:hAnsi="Arial" w:cs="Arial"/>
              </w:rPr>
              <w:t xml:space="preserve"> </w:t>
            </w:r>
            <w:proofErr w:type="spellStart"/>
            <w:r w:rsidR="00E56F16" w:rsidRPr="00E56F16">
              <w:rPr>
                <w:rFonts w:ascii="Arial" w:hAnsi="Arial" w:cs="Arial"/>
              </w:rPr>
              <w:t>Urogastrone</w:t>
            </w:r>
            <w:proofErr w:type="spellEnd"/>
          </w:p>
        </w:tc>
      </w:tr>
      <w:tr w:rsidR="004A1C42" w:rsidRPr="004A1C42" w:rsidTr="00971290">
        <w:trPr>
          <w:trHeight w:val="2412"/>
        </w:trPr>
        <w:tc>
          <w:tcPr>
            <w:tcW w:w="2376" w:type="dxa"/>
            <w:tcBorders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430C58" w:rsidRPr="004A1C42" w:rsidRDefault="007241FF" w:rsidP="00C02713">
            <w:pPr>
              <w:pStyle w:val="Default"/>
              <w:jc w:val="both"/>
              <w:rPr>
                <w:rFonts w:ascii="Arial" w:hAnsi="Arial" w:cs="Arial"/>
                <w:color w:val="auto"/>
                <w:lang w:val="en"/>
              </w:rPr>
            </w:pPr>
            <w:r w:rsidRPr="007241FF">
              <w:rPr>
                <w:rFonts w:ascii="Arial" w:hAnsi="Arial" w:cs="Arial"/>
                <w:color w:val="auto"/>
                <w:sz w:val="20"/>
              </w:rPr>
              <w:t xml:space="preserve">Epidermal growth factor </w:t>
            </w:r>
            <w:r w:rsidR="00C02713">
              <w:rPr>
                <w:rFonts w:ascii="Arial" w:hAnsi="Arial" w:cs="Arial"/>
                <w:color w:val="auto"/>
                <w:sz w:val="20"/>
              </w:rPr>
              <w:t>(</w:t>
            </w:r>
            <w:r w:rsidRPr="007241FF">
              <w:rPr>
                <w:rFonts w:ascii="Arial" w:hAnsi="Arial" w:cs="Arial"/>
                <w:color w:val="auto"/>
                <w:sz w:val="20"/>
              </w:rPr>
              <w:t>EGF</w:t>
            </w:r>
            <w:r w:rsidR="00C02713">
              <w:rPr>
                <w:rFonts w:ascii="Arial" w:hAnsi="Arial" w:cs="Arial"/>
                <w:color w:val="auto"/>
                <w:sz w:val="20"/>
              </w:rPr>
              <w:t>)</w:t>
            </w:r>
            <w:r w:rsidRPr="007241FF">
              <w:rPr>
                <w:rFonts w:ascii="Arial" w:hAnsi="Arial" w:cs="Arial"/>
                <w:color w:val="auto"/>
                <w:sz w:val="20"/>
              </w:rPr>
              <w:t xml:space="preserve"> is a </w:t>
            </w:r>
            <w:hyperlink r:id="rId7" w:tooltip="Growth factor" w:history="1">
              <w:r w:rsidRPr="007241FF">
                <w:rPr>
                  <w:rFonts w:ascii="Arial" w:hAnsi="Arial" w:cs="Arial"/>
                  <w:color w:val="auto"/>
                  <w:sz w:val="20"/>
                </w:rPr>
                <w:t>growth factor</w:t>
              </w:r>
            </w:hyperlink>
            <w:r w:rsidRPr="007241FF">
              <w:rPr>
                <w:rFonts w:ascii="Arial" w:hAnsi="Arial" w:cs="Arial"/>
                <w:color w:val="auto"/>
                <w:sz w:val="20"/>
              </w:rPr>
              <w:t xml:space="preserve"> that stimulates </w:t>
            </w:r>
            <w:hyperlink r:id="rId8" w:tooltip="Cell growth" w:history="1">
              <w:r w:rsidRPr="007241FF">
                <w:rPr>
                  <w:rFonts w:ascii="Arial" w:hAnsi="Arial" w:cs="Arial"/>
                  <w:color w:val="auto"/>
                  <w:sz w:val="20"/>
                </w:rPr>
                <w:t>cell growth</w:t>
              </w:r>
            </w:hyperlink>
            <w:r w:rsidRPr="007241FF">
              <w:rPr>
                <w:rFonts w:ascii="Arial" w:hAnsi="Arial" w:cs="Arial"/>
                <w:color w:val="auto"/>
                <w:sz w:val="20"/>
              </w:rPr>
              <w:t xml:space="preserve">, </w:t>
            </w:r>
            <w:hyperlink r:id="rId9" w:tooltip="Cell growth" w:history="1">
              <w:r w:rsidRPr="007241FF">
                <w:rPr>
                  <w:rFonts w:ascii="Arial" w:hAnsi="Arial" w:cs="Arial"/>
                  <w:color w:val="auto"/>
                  <w:sz w:val="20"/>
                </w:rPr>
                <w:t>proliferation</w:t>
              </w:r>
            </w:hyperlink>
            <w:r w:rsidRPr="007241FF">
              <w:rPr>
                <w:rFonts w:ascii="Arial" w:hAnsi="Arial" w:cs="Arial"/>
                <w:color w:val="auto"/>
                <w:sz w:val="20"/>
              </w:rPr>
              <w:t xml:space="preserve">, and </w:t>
            </w:r>
            <w:hyperlink r:id="rId10" w:tooltip="Cellular differentiation" w:history="1">
              <w:r w:rsidRPr="007241FF">
                <w:rPr>
                  <w:rFonts w:ascii="Arial" w:hAnsi="Arial" w:cs="Arial"/>
                  <w:color w:val="auto"/>
                  <w:sz w:val="20"/>
                </w:rPr>
                <w:t>differentiation</w:t>
              </w:r>
            </w:hyperlink>
            <w:r w:rsidR="00C02713">
              <w:rPr>
                <w:rFonts w:ascii="Arial" w:hAnsi="Arial" w:cs="Arial"/>
                <w:color w:val="auto"/>
                <w:sz w:val="20"/>
              </w:rPr>
              <w:t xml:space="preserve">. </w:t>
            </w:r>
            <w:r w:rsidRPr="007241FF">
              <w:rPr>
                <w:rFonts w:ascii="Arial" w:hAnsi="Arial" w:cs="Arial"/>
                <w:color w:val="auto"/>
                <w:sz w:val="20"/>
              </w:rPr>
              <w:t>Human EGF is a 6045</w:t>
            </w:r>
            <w:r w:rsidR="00C02713">
              <w:rPr>
                <w:rFonts w:ascii="Arial" w:hAnsi="Arial" w:cs="Arial"/>
                <w:color w:val="auto"/>
                <w:sz w:val="20"/>
              </w:rPr>
              <w:t xml:space="preserve"> </w:t>
            </w:r>
            <w:hyperlink r:id="rId11" w:tooltip="Dalton (unit)" w:history="1">
              <w:r w:rsidRPr="007241FF">
                <w:rPr>
                  <w:rFonts w:ascii="Arial" w:hAnsi="Arial" w:cs="Arial"/>
                  <w:color w:val="auto"/>
                  <w:sz w:val="20"/>
                </w:rPr>
                <w:t>Da</w:t>
              </w:r>
            </w:hyperlink>
            <w:r w:rsidRPr="007241FF">
              <w:rPr>
                <w:rFonts w:ascii="Arial" w:hAnsi="Arial" w:cs="Arial"/>
                <w:color w:val="auto"/>
                <w:sz w:val="20"/>
              </w:rPr>
              <w:t xml:space="preserve"> </w:t>
            </w:r>
            <w:hyperlink r:id="rId12" w:tooltip="Protein" w:history="1">
              <w:r w:rsidRPr="007241FF">
                <w:rPr>
                  <w:rFonts w:ascii="Arial" w:hAnsi="Arial" w:cs="Arial"/>
                  <w:color w:val="auto"/>
                  <w:sz w:val="20"/>
                </w:rPr>
                <w:t>protein</w:t>
              </w:r>
            </w:hyperlink>
            <w:r w:rsidRPr="007241FF">
              <w:rPr>
                <w:rFonts w:ascii="Arial" w:hAnsi="Arial" w:cs="Arial"/>
                <w:color w:val="auto"/>
                <w:sz w:val="20"/>
              </w:rPr>
              <w:t xml:space="preserve"> with 53 </w:t>
            </w:r>
            <w:hyperlink r:id="rId13" w:tooltip="Amino acid" w:history="1">
              <w:r w:rsidRPr="00C02713">
                <w:rPr>
                  <w:rFonts w:ascii="Arial" w:hAnsi="Arial" w:cs="Arial"/>
                  <w:color w:val="auto"/>
                  <w:sz w:val="20"/>
                </w:rPr>
                <w:t>amino acid residues</w:t>
              </w:r>
            </w:hyperlink>
            <w:r w:rsidRPr="007241FF">
              <w:rPr>
                <w:rFonts w:ascii="Arial" w:hAnsi="Arial" w:cs="Arial"/>
                <w:color w:val="auto"/>
                <w:sz w:val="20"/>
              </w:rPr>
              <w:t xml:space="preserve"> and three intramolecular </w:t>
            </w:r>
            <w:hyperlink r:id="rId14" w:tooltip="Disulfide bond" w:history="1">
              <w:r w:rsidRPr="00C02713">
                <w:rPr>
                  <w:rFonts w:ascii="Arial" w:hAnsi="Arial" w:cs="Arial"/>
                  <w:color w:val="auto"/>
                  <w:sz w:val="20"/>
                </w:rPr>
                <w:t>disulfide bonds</w:t>
              </w:r>
            </w:hyperlink>
            <w:r>
              <w:rPr>
                <w:rFonts w:ascii="Arial" w:hAnsi="Arial" w:cs="Arial"/>
                <w:color w:val="auto"/>
                <w:sz w:val="20"/>
              </w:rPr>
              <w:t xml:space="preserve">. </w:t>
            </w:r>
            <w:r w:rsidR="001156E0" w:rsidRPr="001156E0">
              <w:rPr>
                <w:rFonts w:ascii="Arial" w:hAnsi="Arial" w:cs="Arial"/>
                <w:color w:val="auto"/>
                <w:sz w:val="20"/>
              </w:rPr>
              <w:t xml:space="preserve">EGF acts by binding with high </w:t>
            </w:r>
            <w:hyperlink r:id="rId15" w:tooltip="Affinity (pharmacology)" w:history="1">
              <w:r w:rsidR="001156E0" w:rsidRPr="001156E0">
                <w:rPr>
                  <w:rFonts w:ascii="Arial" w:hAnsi="Arial" w:cs="Arial"/>
                  <w:color w:val="auto"/>
                  <w:sz w:val="20"/>
                </w:rPr>
                <w:t>affinity</w:t>
              </w:r>
            </w:hyperlink>
            <w:r w:rsidR="001156E0" w:rsidRPr="001156E0">
              <w:rPr>
                <w:rFonts w:ascii="Arial" w:hAnsi="Arial" w:cs="Arial"/>
                <w:color w:val="auto"/>
                <w:sz w:val="20"/>
              </w:rPr>
              <w:t xml:space="preserve"> to EGFR on the </w:t>
            </w:r>
            <w:hyperlink r:id="rId16" w:tooltip="Plasma membrane" w:history="1">
              <w:r w:rsidR="001156E0" w:rsidRPr="001156E0">
                <w:rPr>
                  <w:rFonts w:ascii="Arial" w:hAnsi="Arial" w:cs="Arial"/>
                  <w:color w:val="auto"/>
                  <w:sz w:val="20"/>
                </w:rPr>
                <w:t>cell surface</w:t>
              </w:r>
            </w:hyperlink>
            <w:r w:rsidR="001156E0" w:rsidRPr="001156E0">
              <w:rPr>
                <w:rFonts w:ascii="Arial" w:hAnsi="Arial" w:cs="Arial"/>
                <w:color w:val="auto"/>
                <w:sz w:val="20"/>
              </w:rPr>
              <w:t>. This stimulates ligand-induced dimerization,</w:t>
            </w:r>
            <w:r w:rsidR="001156E0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156E0" w:rsidRPr="001156E0">
              <w:rPr>
                <w:rFonts w:ascii="Arial" w:hAnsi="Arial" w:cs="Arial"/>
                <w:color w:val="auto"/>
                <w:sz w:val="20"/>
              </w:rPr>
              <w:t>activating the intrinsic protein-tyrosine kinase activity of the receptor</w:t>
            </w:r>
            <w:r w:rsidR="00C02713">
              <w:rPr>
                <w:rFonts w:ascii="Arial" w:hAnsi="Arial" w:cs="Arial"/>
                <w:color w:val="auto"/>
                <w:sz w:val="20"/>
              </w:rPr>
              <w:t>.</w:t>
            </w:r>
            <w:r w:rsidR="001156E0" w:rsidRPr="001156E0">
              <w:rPr>
                <w:rFonts w:ascii="Arial" w:hAnsi="Arial" w:cs="Arial"/>
                <w:color w:val="auto"/>
                <w:sz w:val="20"/>
              </w:rPr>
              <w:t xml:space="preserve"> The </w:t>
            </w:r>
            <w:hyperlink r:id="rId17" w:tooltip="Tyrosine kinase" w:history="1">
              <w:r w:rsidR="001156E0" w:rsidRPr="001156E0">
                <w:rPr>
                  <w:rFonts w:ascii="Arial" w:hAnsi="Arial" w:cs="Arial"/>
                  <w:color w:val="auto"/>
                  <w:sz w:val="20"/>
                </w:rPr>
                <w:t>tyrosine kinase</w:t>
              </w:r>
            </w:hyperlink>
            <w:r w:rsidR="001156E0" w:rsidRPr="001156E0">
              <w:rPr>
                <w:rFonts w:ascii="Arial" w:hAnsi="Arial" w:cs="Arial"/>
                <w:color w:val="auto"/>
                <w:sz w:val="20"/>
              </w:rPr>
              <w:t xml:space="preserve"> activity, in turn, initiates a </w:t>
            </w:r>
            <w:hyperlink r:id="rId18" w:tooltip="Signal transduction" w:history="1">
              <w:r w:rsidR="001156E0" w:rsidRPr="001156E0">
                <w:rPr>
                  <w:rFonts w:ascii="Arial" w:hAnsi="Arial" w:cs="Arial"/>
                  <w:color w:val="auto"/>
                  <w:sz w:val="20"/>
                </w:rPr>
                <w:t>signal transduction</w:t>
              </w:r>
            </w:hyperlink>
            <w:r w:rsidR="001156E0" w:rsidRPr="001156E0">
              <w:rPr>
                <w:rFonts w:ascii="Arial" w:hAnsi="Arial" w:cs="Arial"/>
                <w:color w:val="auto"/>
                <w:sz w:val="20"/>
              </w:rPr>
              <w:t xml:space="preserve"> cascade that results in a variety of </w:t>
            </w:r>
            <w:hyperlink r:id="rId19" w:tooltip="Biochemistry" w:history="1">
              <w:r w:rsidR="001156E0" w:rsidRPr="001156E0">
                <w:rPr>
                  <w:rFonts w:ascii="Arial" w:hAnsi="Arial" w:cs="Arial"/>
                  <w:color w:val="auto"/>
                  <w:sz w:val="20"/>
                </w:rPr>
                <w:t>biochemical</w:t>
              </w:r>
            </w:hyperlink>
            <w:r w:rsidR="001156E0" w:rsidRPr="001156E0">
              <w:rPr>
                <w:rFonts w:ascii="Arial" w:hAnsi="Arial" w:cs="Arial"/>
                <w:color w:val="auto"/>
                <w:sz w:val="20"/>
              </w:rPr>
              <w:t xml:space="preserve"> changes within the cell - a rise in intracellular </w:t>
            </w:r>
            <w:hyperlink r:id="rId20" w:tooltip="Calcium" w:history="1">
              <w:r w:rsidR="001156E0" w:rsidRPr="001156E0">
                <w:rPr>
                  <w:rFonts w:ascii="Arial" w:hAnsi="Arial" w:cs="Arial"/>
                  <w:color w:val="auto"/>
                  <w:sz w:val="20"/>
                </w:rPr>
                <w:t>calcium</w:t>
              </w:r>
            </w:hyperlink>
            <w:r w:rsidR="001156E0" w:rsidRPr="001156E0">
              <w:rPr>
                <w:rFonts w:ascii="Arial" w:hAnsi="Arial" w:cs="Arial"/>
                <w:color w:val="auto"/>
                <w:sz w:val="20"/>
              </w:rPr>
              <w:t xml:space="preserve"> levels, increased </w:t>
            </w:r>
            <w:hyperlink r:id="rId21" w:tooltip="Glycolysis" w:history="1">
              <w:r w:rsidR="001156E0" w:rsidRPr="001156E0">
                <w:rPr>
                  <w:rFonts w:ascii="Arial" w:hAnsi="Arial" w:cs="Arial"/>
                  <w:color w:val="auto"/>
                  <w:sz w:val="20"/>
                </w:rPr>
                <w:t>glycolysis</w:t>
              </w:r>
            </w:hyperlink>
            <w:r w:rsidR="001156E0" w:rsidRPr="001156E0">
              <w:rPr>
                <w:rFonts w:ascii="Arial" w:hAnsi="Arial" w:cs="Arial"/>
                <w:color w:val="auto"/>
                <w:sz w:val="20"/>
              </w:rPr>
              <w:t xml:space="preserve"> and </w:t>
            </w:r>
            <w:hyperlink r:id="rId22" w:tooltip="Protein synthesis" w:history="1">
              <w:r w:rsidR="001156E0" w:rsidRPr="001156E0">
                <w:rPr>
                  <w:rFonts w:ascii="Arial" w:hAnsi="Arial" w:cs="Arial"/>
                  <w:color w:val="auto"/>
                  <w:sz w:val="20"/>
                </w:rPr>
                <w:t>protein synthesis</w:t>
              </w:r>
            </w:hyperlink>
            <w:r w:rsidR="001156E0" w:rsidRPr="001156E0">
              <w:rPr>
                <w:rFonts w:ascii="Arial" w:hAnsi="Arial" w:cs="Arial"/>
                <w:color w:val="auto"/>
                <w:sz w:val="20"/>
              </w:rPr>
              <w:t xml:space="preserve">, and increases in the </w:t>
            </w:r>
            <w:hyperlink r:id="rId23" w:tooltip="Gene expression" w:history="1">
              <w:r w:rsidR="001156E0" w:rsidRPr="001156E0">
                <w:rPr>
                  <w:rFonts w:ascii="Arial" w:hAnsi="Arial" w:cs="Arial"/>
                  <w:color w:val="auto"/>
                  <w:sz w:val="20"/>
                </w:rPr>
                <w:t>expression</w:t>
              </w:r>
            </w:hyperlink>
            <w:r w:rsidR="001156E0" w:rsidRPr="001156E0">
              <w:rPr>
                <w:rFonts w:ascii="Arial" w:hAnsi="Arial" w:cs="Arial"/>
                <w:color w:val="auto"/>
                <w:sz w:val="20"/>
              </w:rPr>
              <w:t xml:space="preserve"> of certain </w:t>
            </w:r>
            <w:hyperlink r:id="rId24" w:tooltip="Gene" w:history="1">
              <w:r w:rsidR="001156E0" w:rsidRPr="001156E0">
                <w:rPr>
                  <w:rFonts w:ascii="Arial" w:hAnsi="Arial" w:cs="Arial"/>
                  <w:color w:val="auto"/>
                  <w:sz w:val="20"/>
                </w:rPr>
                <w:t>genes</w:t>
              </w:r>
            </w:hyperlink>
            <w:r w:rsidR="003F19D4" w:rsidRPr="004A1C42">
              <w:rPr>
                <w:rFonts w:ascii="Arial" w:hAnsi="Arial" w:cs="Arial"/>
                <w:color w:val="auto"/>
                <w:sz w:val="20"/>
              </w:rPr>
              <w:t>.</w:t>
            </w:r>
            <w:r w:rsidR="004A1C42" w:rsidRPr="004A1C42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4A1C42" w:rsidRPr="004A1C42">
              <w:rPr>
                <w:rFonts w:ascii="Arial" w:hAnsi="Arial" w:cs="Arial"/>
                <w:color w:val="auto"/>
                <w:sz w:val="18"/>
              </w:rPr>
              <w:t xml:space="preserve">(Ref. </w:t>
            </w:r>
            <w:r w:rsidR="004A1C42" w:rsidRPr="004A1C42">
              <w:rPr>
                <w:rFonts w:ascii="Arial" w:hAnsi="Arial" w:cs="Arial"/>
                <w:color w:val="auto"/>
                <w:sz w:val="18"/>
                <w:lang w:val="en"/>
              </w:rPr>
              <w:t>From Wikipedia)</w:t>
            </w:r>
          </w:p>
        </w:tc>
      </w:tr>
      <w:tr w:rsidR="004A1C42" w:rsidRPr="004A1C42" w:rsidTr="00971290">
        <w:trPr>
          <w:trHeight w:val="419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52C62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N</w:t>
            </w:r>
            <w:r w:rsidR="003A7BD5" w:rsidRPr="004A1C42">
              <w:rPr>
                <w:rFonts w:ascii="Arial" w:hAnsi="Arial" w:cs="Arial"/>
                <w:b/>
              </w:rPr>
              <w:t>C</w:t>
            </w:r>
            <w:r w:rsidRPr="004A1C42">
              <w:rPr>
                <w:rFonts w:ascii="Arial" w:hAnsi="Arial" w:cs="Arial"/>
                <w:b/>
              </w:rPr>
              <w:t>B</w:t>
            </w:r>
            <w:r w:rsidR="003A7BD5" w:rsidRPr="004A1C42">
              <w:rPr>
                <w:rFonts w:ascii="Arial" w:hAnsi="Arial" w:cs="Arial"/>
                <w:b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0B6B1D" w:rsidP="003962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4A1C42" w:rsidRDefault="00C02713" w:rsidP="00396282">
            <w:pPr>
              <w:pStyle w:val="Default"/>
              <w:jc w:val="both"/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</w:pPr>
            <w:r w:rsidRPr="00C02713">
              <w:rPr>
                <w:rFonts w:ascii="Arial" w:hAnsi="Arial" w:cs="Arial"/>
                <w:color w:val="auto"/>
                <w:kern w:val="2"/>
                <w:sz w:val="20"/>
              </w:rPr>
              <w:t>NM_001963.4</w:t>
            </w:r>
          </w:p>
        </w:tc>
      </w:tr>
      <w:tr w:rsidR="004A1C42" w:rsidRPr="004A1C42" w:rsidTr="00C02713">
        <w:trPr>
          <w:trHeight w:val="527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0A213C" w:rsidRPr="004A1C42" w:rsidRDefault="00C02713" w:rsidP="00C02713">
            <w:pPr>
              <w:ind w:leftChars="17" w:left="34"/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C02713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MNSDSECPLSHDGYCLHDGVCMYIEALDKYACNCVVGYIGERCQY</w:t>
            </w:r>
            <w:r w:rsidRPr="00C02713">
              <w:rPr>
                <w:rFonts w:ascii="Courier New" w:eastAsia="굴림체" w:hAnsi="Courier New" w:cs="Courier New" w:hint="eastAsia"/>
                <w:b/>
                <w:caps/>
                <w:kern w:val="0"/>
                <w:szCs w:val="20"/>
              </w:rPr>
              <w:t>R</w:t>
            </w:r>
            <w:r w:rsidRPr="00C02713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DLKWWELR</w:t>
            </w:r>
          </w:p>
        </w:tc>
      </w:tr>
      <w:tr w:rsidR="004A1C42" w:rsidRPr="004A1C42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0924FD" w:rsidRDefault="00C02713" w:rsidP="00C02713">
            <w:pPr>
              <w:ind w:leftChars="-54" w:left="-108" w:firstLineChars="54" w:firstLine="108"/>
              <w:rPr>
                <w:rFonts w:ascii="Arial" w:hAnsi="Arial" w:cs="Arial"/>
              </w:rPr>
            </w:pPr>
            <w:r w:rsidRPr="000924FD">
              <w:rPr>
                <w:rFonts w:ascii="Arial" w:hAnsi="Arial" w:cs="Arial"/>
              </w:rPr>
              <w:t>6.33</w:t>
            </w:r>
            <w:r w:rsidR="003A7BD5" w:rsidRPr="000924FD">
              <w:rPr>
                <w:rFonts w:ascii="Arial" w:hAnsi="Arial" w:cs="Arial"/>
              </w:rPr>
              <w:t xml:space="preserve"> </w:t>
            </w:r>
            <w:proofErr w:type="spellStart"/>
            <w:r w:rsidR="003A7BD5" w:rsidRPr="000924FD">
              <w:rPr>
                <w:rFonts w:ascii="Arial" w:hAnsi="Arial" w:cs="Arial"/>
              </w:rPr>
              <w:t>kDa</w:t>
            </w:r>
            <w:proofErr w:type="spellEnd"/>
            <w:r w:rsidR="006A254A" w:rsidRPr="000924FD">
              <w:rPr>
                <w:rFonts w:ascii="Arial" w:hAnsi="Arial" w:cs="Arial"/>
              </w:rPr>
              <w:t xml:space="preserve"> (</w:t>
            </w:r>
            <w:r w:rsidRPr="000924FD">
              <w:rPr>
                <w:rFonts w:ascii="Arial" w:hAnsi="Arial" w:cs="Arial"/>
              </w:rPr>
              <w:t>54</w:t>
            </w:r>
            <w:r w:rsidR="006A254A" w:rsidRPr="000924FD">
              <w:rPr>
                <w:rFonts w:ascii="Arial" w:hAnsi="Arial" w:cs="Arial"/>
              </w:rPr>
              <w:t xml:space="preserve"> aa)</w:t>
            </w:r>
          </w:p>
        </w:tc>
      </w:tr>
      <w:tr w:rsidR="004A1C42" w:rsidRPr="004A1C42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  <w:sz w:val="18"/>
              </w:rPr>
            </w:pPr>
            <w:r w:rsidRPr="004A1C42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0924FD" w:rsidRDefault="00C10FA9" w:rsidP="00396282">
            <w:pPr>
              <w:rPr>
                <w:rFonts w:ascii="Arial" w:hAnsi="Arial" w:cs="Arial"/>
                <w:sz w:val="18"/>
              </w:rPr>
            </w:pPr>
            <w:r w:rsidRPr="000924FD">
              <w:rPr>
                <w:rFonts w:ascii="Arial" w:hAnsi="Arial" w:cs="Arial"/>
                <w:sz w:val="18"/>
              </w:rPr>
              <w:t>No tagging</w:t>
            </w:r>
          </w:p>
        </w:tc>
      </w:tr>
      <w:tr w:rsidR="004A1C42" w:rsidRPr="004A1C42" w:rsidTr="00396282">
        <w:trPr>
          <w:trHeight w:val="238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0924FD" w:rsidRDefault="00C10FA9" w:rsidP="00396282">
            <w:pPr>
              <w:rPr>
                <w:rFonts w:ascii="Arial" w:hAnsi="Arial" w:cs="Arial"/>
                <w:i/>
              </w:rPr>
            </w:pPr>
            <w:r w:rsidRPr="000924FD">
              <w:rPr>
                <w:rFonts w:ascii="Arial" w:hAnsi="Arial" w:cs="Arial"/>
                <w:i/>
              </w:rPr>
              <w:t>E. coli.</w:t>
            </w:r>
          </w:p>
        </w:tc>
      </w:tr>
      <w:tr w:rsidR="004A1C42" w:rsidRPr="004A1C42" w:rsidTr="00396282">
        <w:trPr>
          <w:trHeight w:val="141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0924FD" w:rsidRDefault="00421DAE" w:rsidP="001F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JW-H010-0050, JW-H010-0100, JW-H010-0</w:t>
            </w:r>
            <w:r w:rsidR="00CE1152">
              <w:rPr>
                <w:rFonts w:ascii="Arial" w:hAnsi="Arial" w:cs="Arial"/>
              </w:rPr>
              <w:t>250, JW-H010-0500, JW-H010-1000</w:t>
            </w:r>
          </w:p>
        </w:tc>
      </w:tr>
      <w:tr w:rsidR="004A1C42" w:rsidRPr="004A1C42" w:rsidTr="00A0719E">
        <w:trPr>
          <w:trHeight w:val="619"/>
        </w:trPr>
        <w:tc>
          <w:tcPr>
            <w:tcW w:w="2376" w:type="dxa"/>
            <w:tcBorders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</w:tcBorders>
          </w:tcPr>
          <w:p w:rsidR="00C10FA9" w:rsidRPr="000924FD" w:rsidRDefault="00C10FA9" w:rsidP="00396282">
            <w:pPr>
              <w:rPr>
                <w:rFonts w:ascii="Arial" w:hAnsi="Arial" w:cs="Arial"/>
              </w:rPr>
            </w:pPr>
            <w:r w:rsidRPr="000924FD">
              <w:rPr>
                <w:rFonts w:ascii="Arial" w:hAnsi="Arial" w:cs="Arial"/>
              </w:rPr>
              <w:t xml:space="preserve">Should be at ≤ -70 </w:t>
            </w:r>
            <w:r w:rsidRPr="000924FD">
              <w:rPr>
                <w:rFonts w:ascii="Arial" w:hAnsi="Arial" w:cs="Arial" w:hint="eastAsia"/>
              </w:rPr>
              <w:t>℃</w:t>
            </w:r>
            <w:r w:rsidRPr="000924FD">
              <w:rPr>
                <w:rFonts w:ascii="Arial" w:hAnsi="Arial" w:cs="Arial"/>
              </w:rPr>
              <w:t xml:space="preserve"> as undiluted aliquots of handy size. Avoid repeated freezing and thawing.</w:t>
            </w:r>
          </w:p>
        </w:tc>
      </w:tr>
      <w:tr w:rsidR="00396282" w:rsidRPr="004A1C42" w:rsidTr="00396282">
        <w:trPr>
          <w:trHeight w:val="155"/>
        </w:trPr>
        <w:tc>
          <w:tcPr>
            <w:tcW w:w="2376" w:type="dxa"/>
            <w:tcBorders>
              <w:bottom w:val="single" w:sz="18" w:space="0" w:color="0070C0"/>
              <w:right w:val="nil"/>
            </w:tcBorders>
          </w:tcPr>
          <w:p w:rsidR="00396282" w:rsidRPr="008F75A3" w:rsidRDefault="00396282" w:rsidP="00971A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396282" w:rsidRPr="008F75A3" w:rsidRDefault="00396282" w:rsidP="00971A95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single" w:sz="18" w:space="0" w:color="0070C0"/>
            </w:tcBorders>
          </w:tcPr>
          <w:p w:rsidR="00396282" w:rsidRPr="000924FD" w:rsidRDefault="00C02713" w:rsidP="00C02713">
            <w:pPr>
              <w:rPr>
                <w:rFonts w:ascii="Arial" w:hAnsi="Arial" w:cs="Arial"/>
                <w:b/>
              </w:rPr>
            </w:pPr>
            <w:r w:rsidRPr="000924FD">
              <w:rPr>
                <w:rFonts w:ascii="Verdana" w:hAnsi="Verdana"/>
                <w:sz w:val="18"/>
                <w:szCs w:val="18"/>
              </w:rPr>
              <w:t>Mouse, Rat, Monkey, Rabbit, Pig, Cow, Hamster</w:t>
            </w:r>
          </w:p>
        </w:tc>
      </w:tr>
    </w:tbl>
    <w:p w:rsidR="0027046E" w:rsidRPr="00396282" w:rsidRDefault="0027046E" w:rsidP="0027046E">
      <w:pPr>
        <w:rPr>
          <w:b/>
          <w:sz w:val="12"/>
        </w:rPr>
      </w:pPr>
    </w:p>
    <w:tbl>
      <w:tblPr>
        <w:tblStyle w:val="a6"/>
        <w:tblW w:w="9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405"/>
        <w:gridCol w:w="112"/>
        <w:gridCol w:w="255"/>
        <w:gridCol w:w="113"/>
        <w:gridCol w:w="3397"/>
        <w:gridCol w:w="2994"/>
      </w:tblGrid>
      <w:tr w:rsidR="004A1C42" w:rsidRPr="004A1C42" w:rsidTr="00CF4DAF">
        <w:trPr>
          <w:trHeight w:val="199"/>
        </w:trPr>
        <w:tc>
          <w:tcPr>
            <w:tcW w:w="9198" w:type="dxa"/>
            <w:gridSpan w:val="7"/>
            <w:tcBorders>
              <w:bottom w:val="single" w:sz="18" w:space="0" w:color="0070C0"/>
            </w:tcBorders>
          </w:tcPr>
          <w:p w:rsidR="0027046E" w:rsidRPr="004A1C42" w:rsidRDefault="0027046E" w:rsidP="007365FF">
            <w:pPr>
              <w:rPr>
                <w:rFonts w:ascii="Arial Black" w:hAnsi="Arial Black"/>
              </w:rPr>
            </w:pPr>
            <w:r w:rsidRPr="004A1C42">
              <w:rPr>
                <w:rFonts w:ascii="Arial Black" w:hAnsi="Arial Black"/>
                <w:sz w:val="24"/>
              </w:rPr>
              <w:t>Quality Control</w:t>
            </w:r>
          </w:p>
        </w:tc>
      </w:tr>
      <w:tr w:rsidR="004A1C42" w:rsidRPr="004A1C42" w:rsidTr="00CF4DAF">
        <w:trPr>
          <w:trHeight w:val="359"/>
        </w:trPr>
        <w:tc>
          <w:tcPr>
            <w:tcW w:w="1922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  <w:sz w:val="24"/>
              </w:rPr>
            </w:pPr>
            <w:r w:rsidRPr="004A1C42">
              <w:rPr>
                <w:rFonts w:ascii="Arial" w:hAnsi="Arial" w:cs="Arial"/>
                <w:b/>
                <w:sz w:val="24"/>
              </w:rPr>
              <w:t>Test items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04" w:type="dxa"/>
            <w:gridSpan w:val="3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4A1C42" w:rsidRDefault="00A31A0C" w:rsidP="00A31A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A1C42">
              <w:rPr>
                <w:rFonts w:ascii="Arial" w:hAnsi="Arial" w:cs="Arial"/>
                <w:b/>
                <w:sz w:val="24"/>
              </w:rPr>
              <w:t>Specifications</w:t>
            </w:r>
          </w:p>
        </w:tc>
      </w:tr>
      <w:tr w:rsidR="004A1C42" w:rsidRPr="004A1C42" w:rsidTr="00CF4DAF">
        <w:trPr>
          <w:trHeight w:val="397"/>
        </w:trPr>
        <w:tc>
          <w:tcPr>
            <w:tcW w:w="2439" w:type="dxa"/>
            <w:gridSpan w:val="3"/>
            <w:tcBorders>
              <w:bottom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Appearance</w:t>
            </w:r>
          </w:p>
        </w:tc>
        <w:tc>
          <w:tcPr>
            <w:tcW w:w="3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4A1C42" w:rsidRDefault="00A31A0C" w:rsidP="000272C6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Clear, colorless liquid</w:t>
            </w:r>
          </w:p>
        </w:tc>
      </w:tr>
      <w:tr w:rsidR="004A1C42" w:rsidRPr="004A1C42" w:rsidTr="003A7BD5">
        <w:trPr>
          <w:trHeight w:val="284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Purity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4A1C42" w:rsidRDefault="00A31A0C" w:rsidP="0099058B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Greater than 9</w:t>
            </w:r>
            <w:r w:rsidR="0099058B">
              <w:rPr>
                <w:rFonts w:ascii="Arial" w:hAnsi="Arial" w:cs="Arial"/>
              </w:rPr>
              <w:t>5</w:t>
            </w:r>
            <w:bookmarkStart w:id="0" w:name="_GoBack"/>
            <w:bookmarkEnd w:id="0"/>
            <w:r w:rsidRPr="004A1C42">
              <w:rPr>
                <w:rFonts w:ascii="Arial" w:hAnsi="Arial" w:cs="Arial"/>
              </w:rPr>
              <w:t xml:space="preserve"> % by </w:t>
            </w:r>
            <w:r w:rsidR="00446472" w:rsidRPr="004A1C42">
              <w:rPr>
                <w:rFonts w:ascii="Arial" w:hAnsi="Arial" w:cs="Arial"/>
              </w:rPr>
              <w:t>SDS-PAGE</w:t>
            </w:r>
          </w:p>
        </w:tc>
      </w:tr>
      <w:tr w:rsidR="004A1C42" w:rsidRPr="004A1C42" w:rsidTr="00C15146">
        <w:trPr>
          <w:trHeight w:val="299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Specificity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0272C6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Using Western blot, detection</w:t>
            </w:r>
          </w:p>
        </w:tc>
        <w:tc>
          <w:tcPr>
            <w:tcW w:w="2994" w:type="dxa"/>
            <w:vMerge w:val="restart"/>
            <w:tcBorders>
              <w:left w:val="nil"/>
              <w:right w:val="nil"/>
            </w:tcBorders>
            <w:vAlign w:val="center"/>
          </w:tcPr>
          <w:p w:rsidR="008B1C65" w:rsidRPr="004A1C42" w:rsidRDefault="00823DFF" w:rsidP="008B1C65">
            <w:pPr>
              <w:ind w:leftChars="46" w:left="92"/>
              <w:rPr>
                <w:rFonts w:ascii="Arial" w:hAnsi="Arial" w:cs="Arial"/>
              </w:rPr>
            </w:pPr>
            <w:r w:rsidRPr="00823DFF">
              <w:rPr>
                <w:rFonts w:ascii="Arial" w:hAnsi="Arial" w:cs="Arial"/>
                <w:noProof/>
              </w:rPr>
              <w:drawing>
                <wp:inline distT="0" distB="0" distL="0" distR="0" wp14:anchorId="16F25F0D" wp14:editId="6B352FA4">
                  <wp:extent cx="1659600" cy="1342800"/>
                  <wp:effectExtent l="0" t="0" r="0" b="0"/>
                  <wp:docPr id="1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00" cy="134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C42" w:rsidRPr="004A1C42" w:rsidTr="008B1C65">
        <w:trPr>
          <w:trHeight w:val="417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Concentration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90007E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0.1 mg/</w:t>
            </w:r>
            <w:r w:rsidRPr="004A1C42">
              <w:rPr>
                <w:rFonts w:ascii="Arial" w:hAnsi="Arial" w:cs="Arial"/>
              </w:rPr>
              <w:t>㎖</w:t>
            </w:r>
            <w:r w:rsidRPr="004A1C42">
              <w:rPr>
                <w:rFonts w:ascii="Arial" w:hAnsi="Arial" w:cs="Arial"/>
              </w:rPr>
              <w:t>, Bradford method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D837E2">
        <w:trPr>
          <w:trHeight w:val="1253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Biological Activity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183C60" w:rsidRDefault="008B1C65" w:rsidP="00A54BBF">
            <w:pPr>
              <w:rPr>
                <w:rFonts w:ascii="Arial" w:hAnsi="Arial" w:cs="Arial"/>
                <w:b/>
              </w:rPr>
            </w:pPr>
            <w:r w:rsidRPr="00183C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C15146" w:rsidRPr="00183C60" w:rsidRDefault="008B1C65" w:rsidP="001D0BA5">
            <w:pPr>
              <w:ind w:leftChars="-54" w:left="-108"/>
              <w:rPr>
                <w:rFonts w:ascii="Arial" w:hAnsi="Arial" w:cs="Arial"/>
              </w:rPr>
            </w:pPr>
            <w:r w:rsidRPr="00183C60">
              <w:rPr>
                <w:rFonts w:ascii="Arial" w:hAnsi="Arial" w:cs="Arial"/>
              </w:rPr>
              <w:t xml:space="preserve">Determined by </w:t>
            </w:r>
            <w:r w:rsidR="001626BD" w:rsidRPr="00183C60">
              <w:rPr>
                <w:rFonts w:ascii="Arial" w:hAnsi="Arial" w:cs="Arial"/>
              </w:rPr>
              <w:t xml:space="preserve">proliferation of </w:t>
            </w:r>
            <w:r w:rsidR="00466BF4" w:rsidRPr="00183C60">
              <w:rPr>
                <w:rFonts w:ascii="Arial" w:hAnsi="Arial" w:cs="Arial"/>
              </w:rPr>
              <w:t xml:space="preserve">MCF10A </w:t>
            </w:r>
            <w:r w:rsidR="001626BD" w:rsidRPr="00183C60">
              <w:rPr>
                <w:rFonts w:ascii="Arial" w:hAnsi="Arial" w:cs="Arial"/>
              </w:rPr>
              <w:t>indicator cells</w:t>
            </w:r>
            <w:r w:rsidR="000B6B1D" w:rsidRPr="00183C60">
              <w:rPr>
                <w:rFonts w:ascii="Arial" w:hAnsi="Arial" w:cs="Arial"/>
              </w:rPr>
              <w:t>.</w:t>
            </w:r>
          </w:p>
          <w:p w:rsidR="008B1C65" w:rsidRPr="00183C60" w:rsidRDefault="001626BD" w:rsidP="0002304F">
            <w:pPr>
              <w:ind w:leftChars="-54" w:left="-108"/>
              <w:rPr>
                <w:rFonts w:ascii="Arial" w:hAnsi="Arial" w:cs="Arial"/>
              </w:rPr>
            </w:pPr>
            <w:r w:rsidRPr="00183C60">
              <w:rPr>
                <w:rFonts w:ascii="Arial" w:hAnsi="Arial" w:cs="Arial"/>
              </w:rPr>
              <w:t>The ED50 is &lt;</w:t>
            </w:r>
            <w:r w:rsidR="0002304F">
              <w:rPr>
                <w:rFonts w:ascii="Arial" w:hAnsi="Arial" w:cs="Arial"/>
              </w:rPr>
              <w:t>100</w:t>
            </w:r>
            <w:r w:rsidR="00446472" w:rsidRPr="00183C60">
              <w:rPr>
                <w:rFonts w:ascii="Arial" w:hAnsi="Arial" w:cs="Arial"/>
              </w:rPr>
              <w:t xml:space="preserve"> </w:t>
            </w:r>
            <w:proofErr w:type="spellStart"/>
            <w:r w:rsidR="0002304F">
              <w:rPr>
                <w:rFonts w:ascii="Arial" w:hAnsi="Arial" w:cs="Arial" w:hint="eastAsia"/>
              </w:rPr>
              <w:t>p</w:t>
            </w:r>
            <w:r w:rsidRPr="00183C60">
              <w:rPr>
                <w:rFonts w:ascii="Arial" w:hAnsi="Arial" w:cs="Arial"/>
              </w:rPr>
              <w:t>g</w:t>
            </w:r>
            <w:proofErr w:type="spellEnd"/>
            <w:r w:rsidRPr="00183C60">
              <w:rPr>
                <w:rFonts w:ascii="Arial" w:hAnsi="Arial" w:cs="Arial"/>
              </w:rPr>
              <w:t xml:space="preserve">/ml, corresponding to a specific activity of &gt; </w:t>
            </w:r>
            <w:r w:rsidR="0002304F">
              <w:rPr>
                <w:rFonts w:ascii="Arial" w:hAnsi="Arial" w:cs="Arial"/>
              </w:rPr>
              <w:t>1</w:t>
            </w:r>
            <w:r w:rsidRPr="00183C60">
              <w:rPr>
                <w:rFonts w:ascii="Arial" w:hAnsi="Arial" w:cs="Arial"/>
              </w:rPr>
              <w:t>.0 × 10</w:t>
            </w:r>
            <w:r w:rsidR="0002304F">
              <w:rPr>
                <w:rFonts w:ascii="Arial" w:hAnsi="Arial" w:cs="Arial"/>
                <w:vertAlign w:val="superscript"/>
              </w:rPr>
              <w:t>7</w:t>
            </w:r>
            <w:r w:rsidRPr="00183C60">
              <w:rPr>
                <w:rFonts w:ascii="Arial" w:hAnsi="Arial" w:cs="Arial"/>
              </w:rPr>
              <w:t xml:space="preserve"> U/mg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C15146">
        <w:trPr>
          <w:trHeight w:val="247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Endotoxin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D6715C">
            <w:pPr>
              <w:ind w:leftChars="-54" w:left="-108"/>
              <w:rPr>
                <w:rFonts w:ascii="Arial" w:hAnsi="Arial" w:cs="Arial"/>
              </w:rPr>
            </w:pPr>
            <w:r w:rsidRPr="00E77160">
              <w:rPr>
                <w:rFonts w:ascii="Arial" w:hAnsi="Arial" w:cs="Arial"/>
              </w:rPr>
              <w:t xml:space="preserve">Less than </w:t>
            </w:r>
            <w:r w:rsidR="00D6715C">
              <w:rPr>
                <w:rFonts w:ascii="Arial" w:hAnsi="Arial" w:cs="Arial"/>
              </w:rPr>
              <w:t>0</w:t>
            </w:r>
            <w:r w:rsidRPr="00E77160">
              <w:rPr>
                <w:rFonts w:ascii="Arial" w:hAnsi="Arial" w:cs="Arial"/>
              </w:rPr>
              <w:t>.</w:t>
            </w:r>
            <w:r w:rsidR="00D6715C">
              <w:rPr>
                <w:rFonts w:ascii="Arial" w:hAnsi="Arial" w:cs="Arial"/>
              </w:rPr>
              <w:t>5</w:t>
            </w:r>
            <w:r w:rsidRPr="00E77160">
              <w:rPr>
                <w:rFonts w:ascii="Arial" w:hAnsi="Arial" w:cs="Arial"/>
              </w:rPr>
              <w:t xml:space="preserve"> EU/</w:t>
            </w:r>
            <w:r w:rsidRPr="00E77160">
              <w:rPr>
                <w:rFonts w:ascii="Arial" w:hAnsi="Arial" w:cs="Arial"/>
              </w:rPr>
              <w:t>㎍</w:t>
            </w:r>
            <w:r w:rsidRPr="00E77160">
              <w:rPr>
                <w:rFonts w:ascii="Arial" w:hAnsi="Arial" w:cs="Arial"/>
              </w:rPr>
              <w:t xml:space="preserve"> as determined by the LAL method</w:t>
            </w:r>
          </w:p>
        </w:tc>
      </w:tr>
      <w:tr w:rsidR="004A1C42" w:rsidRPr="004A1C42" w:rsidTr="001D0BA5">
        <w:trPr>
          <w:trHeight w:val="338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Formulation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971290" w:rsidRDefault="008B1C65" w:rsidP="00971290">
            <w:pPr>
              <w:ind w:leftChars="-54" w:left="-108"/>
              <w:rPr>
                <w:rFonts w:ascii="Arial" w:hAnsi="Arial" w:cs="Arial"/>
              </w:rPr>
            </w:pPr>
            <w:r w:rsidRPr="00971290">
              <w:rPr>
                <w:rFonts w:ascii="Arial" w:hAnsi="Arial" w:cs="Arial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CE1152" w:rsidP="00CE1152">
            <w:pPr>
              <w:ind w:leftChars="-54" w:left="-108"/>
              <w:rPr>
                <w:rFonts w:ascii="Arial" w:hAnsi="Arial" w:cs="Arial"/>
              </w:rPr>
            </w:pPr>
            <w:r>
              <w:t>PBS</w:t>
            </w:r>
            <w:r w:rsidRPr="00E77160">
              <w:rPr>
                <w:rFonts w:ascii="Arial" w:hAnsi="Arial" w:cs="Arial"/>
              </w:rPr>
              <w:t xml:space="preserve"> </w:t>
            </w:r>
            <w:r w:rsidR="00E77160" w:rsidRPr="00E77160">
              <w:rPr>
                <w:rFonts w:ascii="Arial" w:hAnsi="Arial" w:cs="Arial"/>
              </w:rPr>
              <w:t>(pH 7.</w:t>
            </w:r>
            <w:r>
              <w:rPr>
                <w:rFonts w:ascii="Arial" w:hAnsi="Arial" w:cs="Arial"/>
              </w:rPr>
              <w:t>4</w:t>
            </w:r>
            <w:r w:rsidR="00E77160" w:rsidRPr="00E77160">
              <w:rPr>
                <w:rFonts w:ascii="Arial" w:hAnsi="Arial" w:cs="Arial"/>
              </w:rPr>
              <w:t>)</w:t>
            </w:r>
            <w:r w:rsidR="00DD7AFC">
              <w:rPr>
                <w:rFonts w:ascii="Arial" w:hAnsi="Arial" w:cs="Arial"/>
              </w:rPr>
              <w:t xml:space="preserve"> </w:t>
            </w:r>
            <w:r w:rsidR="008B1C65" w:rsidRPr="00E77160">
              <w:rPr>
                <w:rFonts w:ascii="Arial" w:hAnsi="Arial" w:cs="Arial"/>
              </w:rPr>
              <w:t>without preservative or carrier proteins.</w:t>
            </w:r>
          </w:p>
        </w:tc>
      </w:tr>
      <w:tr w:rsidR="004A1C42" w:rsidRPr="004A1C42" w:rsidTr="00D837E2">
        <w:trPr>
          <w:trHeight w:val="192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Stability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Stable for up to 12 months </w:t>
            </w:r>
            <w:r w:rsidRPr="004A1C42">
              <w:rPr>
                <w:rFonts w:asciiTheme="minorEastAsia" w:hAnsiTheme="minorEastAsia" w:cs="Arial"/>
              </w:rPr>
              <w:t xml:space="preserve">at -70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Theme="minorEastAsia" w:hAnsiTheme="minorEastAsia" w:cs="Arial"/>
              </w:rPr>
              <w:t xml:space="preserve">. Stable for a month at 4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="Arial" w:hAnsi="Arial" w:cs="Arial"/>
              </w:rPr>
              <w:t>.</w:t>
            </w:r>
          </w:p>
        </w:tc>
      </w:tr>
      <w:tr w:rsidR="004A1C42" w:rsidRPr="004A1C42" w:rsidTr="00D837E2">
        <w:trPr>
          <w:trHeight w:val="410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Sterility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1626BD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Sterilized through a 0.2 </w:t>
            </w:r>
            <w:r w:rsidRPr="004A1C42">
              <w:rPr>
                <w:rFonts w:ascii="Arial" w:hAnsi="Arial" w:cs="Arial"/>
              </w:rPr>
              <w:t>㎛</w:t>
            </w:r>
            <w:r w:rsidRPr="004A1C42">
              <w:rPr>
                <w:rFonts w:ascii="Arial" w:hAnsi="Arial" w:cs="Arial"/>
              </w:rPr>
              <w:t xml:space="preserve"> membrane filter and packaged aseptically. Culture for 2 weeks, no growth</w:t>
            </w:r>
          </w:p>
        </w:tc>
      </w:tr>
      <w:tr w:rsidR="008B1C65" w:rsidRPr="002C1832" w:rsidTr="001D0BA5">
        <w:trPr>
          <w:trHeight w:val="45"/>
        </w:trPr>
        <w:tc>
          <w:tcPr>
            <w:tcW w:w="2327" w:type="dxa"/>
            <w:gridSpan w:val="2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391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396282" w:rsidRDefault="00494F4A" w:rsidP="001D79EC">
      <w:pPr>
        <w:rPr>
          <w:sz w:val="12"/>
        </w:rPr>
      </w:pPr>
    </w:p>
    <w:sectPr w:rsidR="00494F4A" w:rsidRPr="00396282" w:rsidSect="00B752E6">
      <w:headerReference w:type="default" r:id="rId26"/>
      <w:footerReference w:type="default" r:id="rId2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A0" w:rsidRDefault="00AC3CA0" w:rsidP="00715290">
      <w:r>
        <w:separator/>
      </w:r>
    </w:p>
  </w:endnote>
  <w:endnote w:type="continuationSeparator" w:id="0">
    <w:p w:rsidR="00AC3CA0" w:rsidRDefault="00AC3CA0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Pr="00BB2E85" w:rsidRDefault="00B30C19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 w:rsidR="00F4759D"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B30C19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r w:rsidRPr="007C7C96">
      <w:rPr>
        <w:rFonts w:ascii="Arial" w:hAnsi="Arial" w:cs="Arial"/>
        <w:b/>
        <w:sz w:val="16"/>
        <w:szCs w:val="16"/>
      </w:rPr>
      <w:t>Jungang induspia V, 138-6, Sangdaewon-dong, Jungwon-gu, Seongnam-si, Gyeonggi-do,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B30C19" w:rsidRPr="007C7C96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A0" w:rsidRDefault="00AC3CA0" w:rsidP="00715290">
      <w:r>
        <w:separator/>
      </w:r>
    </w:p>
  </w:footnote>
  <w:footnote w:type="continuationSeparator" w:id="0">
    <w:p w:rsidR="00AC3CA0" w:rsidRDefault="00AC3CA0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Default="00B30C19" w:rsidP="00EA35DA">
    <w:pPr>
      <w:pStyle w:val="a3"/>
      <w:jc w:val="right"/>
    </w:pPr>
    <w:r>
      <w:rPr>
        <w:noProof/>
      </w:rPr>
      <w:drawing>
        <wp:inline distT="0" distB="0" distL="0" distR="0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647B81"/>
    <w:multiLevelType w:val="hybridMultilevel"/>
    <w:tmpl w:val="CCCAE3F6"/>
    <w:lvl w:ilvl="0" w:tplc="EC981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4DB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2C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E1C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4B4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25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4F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B832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0475A"/>
    <w:rsid w:val="00010DB8"/>
    <w:rsid w:val="00013775"/>
    <w:rsid w:val="00016F52"/>
    <w:rsid w:val="0002304F"/>
    <w:rsid w:val="000272C6"/>
    <w:rsid w:val="00040823"/>
    <w:rsid w:val="000419CA"/>
    <w:rsid w:val="00044072"/>
    <w:rsid w:val="00047928"/>
    <w:rsid w:val="000508D6"/>
    <w:rsid w:val="00051586"/>
    <w:rsid w:val="00073233"/>
    <w:rsid w:val="00080C33"/>
    <w:rsid w:val="00083C68"/>
    <w:rsid w:val="00092044"/>
    <w:rsid w:val="000924FD"/>
    <w:rsid w:val="000946BC"/>
    <w:rsid w:val="00096A54"/>
    <w:rsid w:val="000A044A"/>
    <w:rsid w:val="000A1150"/>
    <w:rsid w:val="000A213C"/>
    <w:rsid w:val="000A4F8B"/>
    <w:rsid w:val="000A6C57"/>
    <w:rsid w:val="000B6B1D"/>
    <w:rsid w:val="000C21FE"/>
    <w:rsid w:val="000E67CA"/>
    <w:rsid w:val="000F17A5"/>
    <w:rsid w:val="000F357D"/>
    <w:rsid w:val="00101AB3"/>
    <w:rsid w:val="00106E62"/>
    <w:rsid w:val="001156E0"/>
    <w:rsid w:val="001158D8"/>
    <w:rsid w:val="00121E03"/>
    <w:rsid w:val="00121FC7"/>
    <w:rsid w:val="00144522"/>
    <w:rsid w:val="00150AB2"/>
    <w:rsid w:val="00151930"/>
    <w:rsid w:val="0015232B"/>
    <w:rsid w:val="001626BD"/>
    <w:rsid w:val="00183C60"/>
    <w:rsid w:val="001A04E5"/>
    <w:rsid w:val="001B107C"/>
    <w:rsid w:val="001B1268"/>
    <w:rsid w:val="001B522C"/>
    <w:rsid w:val="001B52D8"/>
    <w:rsid w:val="001B7E84"/>
    <w:rsid w:val="001C3B4A"/>
    <w:rsid w:val="001D0BA5"/>
    <w:rsid w:val="001D79EC"/>
    <w:rsid w:val="001E251D"/>
    <w:rsid w:val="001E4723"/>
    <w:rsid w:val="001F448D"/>
    <w:rsid w:val="001F6E04"/>
    <w:rsid w:val="00213F70"/>
    <w:rsid w:val="00220D19"/>
    <w:rsid w:val="0022274F"/>
    <w:rsid w:val="00224C1C"/>
    <w:rsid w:val="00225FA0"/>
    <w:rsid w:val="0022653C"/>
    <w:rsid w:val="002353E1"/>
    <w:rsid w:val="0024011E"/>
    <w:rsid w:val="002464E7"/>
    <w:rsid w:val="0025214B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92098"/>
    <w:rsid w:val="002923BC"/>
    <w:rsid w:val="0029492E"/>
    <w:rsid w:val="002A7940"/>
    <w:rsid w:val="002B001D"/>
    <w:rsid w:val="002B169A"/>
    <w:rsid w:val="002B27EA"/>
    <w:rsid w:val="002C0B75"/>
    <w:rsid w:val="002C1832"/>
    <w:rsid w:val="002C5EA2"/>
    <w:rsid w:val="002D04B4"/>
    <w:rsid w:val="003160BF"/>
    <w:rsid w:val="003222BE"/>
    <w:rsid w:val="00322B0B"/>
    <w:rsid w:val="00330C86"/>
    <w:rsid w:val="003356C1"/>
    <w:rsid w:val="00352C62"/>
    <w:rsid w:val="0036347B"/>
    <w:rsid w:val="003751DB"/>
    <w:rsid w:val="00385748"/>
    <w:rsid w:val="00385F75"/>
    <w:rsid w:val="00386392"/>
    <w:rsid w:val="00396282"/>
    <w:rsid w:val="003A7BD5"/>
    <w:rsid w:val="003B17CA"/>
    <w:rsid w:val="003C4C83"/>
    <w:rsid w:val="003C6184"/>
    <w:rsid w:val="003C689F"/>
    <w:rsid w:val="003D1141"/>
    <w:rsid w:val="003F19D4"/>
    <w:rsid w:val="00415531"/>
    <w:rsid w:val="00420A47"/>
    <w:rsid w:val="00421DAE"/>
    <w:rsid w:val="00430C58"/>
    <w:rsid w:val="004359DF"/>
    <w:rsid w:val="00441FE6"/>
    <w:rsid w:val="00445FEC"/>
    <w:rsid w:val="00446472"/>
    <w:rsid w:val="00455776"/>
    <w:rsid w:val="00466BF4"/>
    <w:rsid w:val="00471653"/>
    <w:rsid w:val="0048498B"/>
    <w:rsid w:val="00490202"/>
    <w:rsid w:val="00494F4A"/>
    <w:rsid w:val="004A0896"/>
    <w:rsid w:val="004A1C42"/>
    <w:rsid w:val="004A36B8"/>
    <w:rsid w:val="004A4DA9"/>
    <w:rsid w:val="004A4F8E"/>
    <w:rsid w:val="004A6326"/>
    <w:rsid w:val="004B06DA"/>
    <w:rsid w:val="004B5BB0"/>
    <w:rsid w:val="004C0F29"/>
    <w:rsid w:val="004C7C51"/>
    <w:rsid w:val="004D3B95"/>
    <w:rsid w:val="004D4582"/>
    <w:rsid w:val="004E09A5"/>
    <w:rsid w:val="004E350E"/>
    <w:rsid w:val="004F0C32"/>
    <w:rsid w:val="004F1D15"/>
    <w:rsid w:val="004F7EEC"/>
    <w:rsid w:val="00504B91"/>
    <w:rsid w:val="00507D63"/>
    <w:rsid w:val="00511139"/>
    <w:rsid w:val="00514043"/>
    <w:rsid w:val="005240DF"/>
    <w:rsid w:val="00524227"/>
    <w:rsid w:val="005246D6"/>
    <w:rsid w:val="0053217B"/>
    <w:rsid w:val="00537956"/>
    <w:rsid w:val="00537BD7"/>
    <w:rsid w:val="005411B7"/>
    <w:rsid w:val="00555F5E"/>
    <w:rsid w:val="00561AD8"/>
    <w:rsid w:val="00576AAF"/>
    <w:rsid w:val="005829CD"/>
    <w:rsid w:val="00595504"/>
    <w:rsid w:val="005B6E6B"/>
    <w:rsid w:val="005C696E"/>
    <w:rsid w:val="005D56CB"/>
    <w:rsid w:val="005E1697"/>
    <w:rsid w:val="005E3205"/>
    <w:rsid w:val="005E50FB"/>
    <w:rsid w:val="005E6135"/>
    <w:rsid w:val="005E71D5"/>
    <w:rsid w:val="0060148F"/>
    <w:rsid w:val="00611A69"/>
    <w:rsid w:val="00620005"/>
    <w:rsid w:val="00620AB5"/>
    <w:rsid w:val="00646F03"/>
    <w:rsid w:val="006562A9"/>
    <w:rsid w:val="006572FE"/>
    <w:rsid w:val="0067491E"/>
    <w:rsid w:val="00675AD7"/>
    <w:rsid w:val="00676EF9"/>
    <w:rsid w:val="00691168"/>
    <w:rsid w:val="0069767D"/>
    <w:rsid w:val="006A254A"/>
    <w:rsid w:val="006A5246"/>
    <w:rsid w:val="006B553D"/>
    <w:rsid w:val="006B6F0E"/>
    <w:rsid w:val="006C2030"/>
    <w:rsid w:val="006C26FD"/>
    <w:rsid w:val="006D3D19"/>
    <w:rsid w:val="006E3E29"/>
    <w:rsid w:val="006E5CD5"/>
    <w:rsid w:val="006F0375"/>
    <w:rsid w:val="006F1E20"/>
    <w:rsid w:val="006F6AFA"/>
    <w:rsid w:val="006F6E50"/>
    <w:rsid w:val="00707F88"/>
    <w:rsid w:val="00715290"/>
    <w:rsid w:val="0071535F"/>
    <w:rsid w:val="007164C9"/>
    <w:rsid w:val="00720346"/>
    <w:rsid w:val="007241A4"/>
    <w:rsid w:val="007241FF"/>
    <w:rsid w:val="007365FF"/>
    <w:rsid w:val="00741289"/>
    <w:rsid w:val="007417B7"/>
    <w:rsid w:val="0074204F"/>
    <w:rsid w:val="0075244B"/>
    <w:rsid w:val="0075753D"/>
    <w:rsid w:val="007604F9"/>
    <w:rsid w:val="00760717"/>
    <w:rsid w:val="00775896"/>
    <w:rsid w:val="007846A7"/>
    <w:rsid w:val="00796958"/>
    <w:rsid w:val="007A14F2"/>
    <w:rsid w:val="007A236F"/>
    <w:rsid w:val="007A3BED"/>
    <w:rsid w:val="007B1848"/>
    <w:rsid w:val="007B1F65"/>
    <w:rsid w:val="007B6EDD"/>
    <w:rsid w:val="007C016B"/>
    <w:rsid w:val="007C6C0F"/>
    <w:rsid w:val="007C7C96"/>
    <w:rsid w:val="007C7DAE"/>
    <w:rsid w:val="007D1EF6"/>
    <w:rsid w:val="007F50B1"/>
    <w:rsid w:val="0080394B"/>
    <w:rsid w:val="0081251B"/>
    <w:rsid w:val="008125A3"/>
    <w:rsid w:val="00812F2F"/>
    <w:rsid w:val="00816BCC"/>
    <w:rsid w:val="00817291"/>
    <w:rsid w:val="00823DFF"/>
    <w:rsid w:val="00823EED"/>
    <w:rsid w:val="00832E2E"/>
    <w:rsid w:val="008417F2"/>
    <w:rsid w:val="0084188A"/>
    <w:rsid w:val="008454F9"/>
    <w:rsid w:val="008606E8"/>
    <w:rsid w:val="00861960"/>
    <w:rsid w:val="00866153"/>
    <w:rsid w:val="008A3E3C"/>
    <w:rsid w:val="008A71EF"/>
    <w:rsid w:val="008B1C65"/>
    <w:rsid w:val="008B4848"/>
    <w:rsid w:val="008C3A10"/>
    <w:rsid w:val="008D08DE"/>
    <w:rsid w:val="008D7226"/>
    <w:rsid w:val="008D740A"/>
    <w:rsid w:val="008D782B"/>
    <w:rsid w:val="008E7FCB"/>
    <w:rsid w:val="008F14CF"/>
    <w:rsid w:val="0090007E"/>
    <w:rsid w:val="00900BE0"/>
    <w:rsid w:val="00930862"/>
    <w:rsid w:val="0094170E"/>
    <w:rsid w:val="009417D5"/>
    <w:rsid w:val="009659DB"/>
    <w:rsid w:val="00967520"/>
    <w:rsid w:val="00971290"/>
    <w:rsid w:val="009727E8"/>
    <w:rsid w:val="0099058B"/>
    <w:rsid w:val="009A039E"/>
    <w:rsid w:val="009A152D"/>
    <w:rsid w:val="009A3291"/>
    <w:rsid w:val="009A3FEE"/>
    <w:rsid w:val="009B6C0E"/>
    <w:rsid w:val="009F4CB1"/>
    <w:rsid w:val="009F63F5"/>
    <w:rsid w:val="009F7E51"/>
    <w:rsid w:val="00A04D18"/>
    <w:rsid w:val="00A0719E"/>
    <w:rsid w:val="00A115BA"/>
    <w:rsid w:val="00A1190B"/>
    <w:rsid w:val="00A25FFB"/>
    <w:rsid w:val="00A26892"/>
    <w:rsid w:val="00A27BFC"/>
    <w:rsid w:val="00A31A0C"/>
    <w:rsid w:val="00A34B62"/>
    <w:rsid w:val="00A363DD"/>
    <w:rsid w:val="00A4743B"/>
    <w:rsid w:val="00A61D57"/>
    <w:rsid w:val="00A63240"/>
    <w:rsid w:val="00A707A3"/>
    <w:rsid w:val="00A84292"/>
    <w:rsid w:val="00A86B9A"/>
    <w:rsid w:val="00A87843"/>
    <w:rsid w:val="00AA4029"/>
    <w:rsid w:val="00AA703E"/>
    <w:rsid w:val="00AB79D5"/>
    <w:rsid w:val="00AC3CA0"/>
    <w:rsid w:val="00AE24FE"/>
    <w:rsid w:val="00AE574C"/>
    <w:rsid w:val="00AF27F0"/>
    <w:rsid w:val="00AF59B0"/>
    <w:rsid w:val="00B00BB6"/>
    <w:rsid w:val="00B02B79"/>
    <w:rsid w:val="00B0363B"/>
    <w:rsid w:val="00B10EAE"/>
    <w:rsid w:val="00B13DDE"/>
    <w:rsid w:val="00B2385A"/>
    <w:rsid w:val="00B24639"/>
    <w:rsid w:val="00B30C19"/>
    <w:rsid w:val="00B35085"/>
    <w:rsid w:val="00B51557"/>
    <w:rsid w:val="00B552E6"/>
    <w:rsid w:val="00B56492"/>
    <w:rsid w:val="00B66DE6"/>
    <w:rsid w:val="00B752E6"/>
    <w:rsid w:val="00B815BD"/>
    <w:rsid w:val="00B921AE"/>
    <w:rsid w:val="00B961B7"/>
    <w:rsid w:val="00BA0EC8"/>
    <w:rsid w:val="00BB2E85"/>
    <w:rsid w:val="00BC0F08"/>
    <w:rsid w:val="00BC41B7"/>
    <w:rsid w:val="00BD03AA"/>
    <w:rsid w:val="00BD3DAC"/>
    <w:rsid w:val="00BE05F9"/>
    <w:rsid w:val="00BF0A8F"/>
    <w:rsid w:val="00BF6723"/>
    <w:rsid w:val="00C02713"/>
    <w:rsid w:val="00C036B3"/>
    <w:rsid w:val="00C10FA9"/>
    <w:rsid w:val="00C15146"/>
    <w:rsid w:val="00C160BB"/>
    <w:rsid w:val="00C20F16"/>
    <w:rsid w:val="00C224FE"/>
    <w:rsid w:val="00C24EAC"/>
    <w:rsid w:val="00C30879"/>
    <w:rsid w:val="00C33570"/>
    <w:rsid w:val="00C35807"/>
    <w:rsid w:val="00C41DBC"/>
    <w:rsid w:val="00C431BD"/>
    <w:rsid w:val="00C4434C"/>
    <w:rsid w:val="00C45B55"/>
    <w:rsid w:val="00C47903"/>
    <w:rsid w:val="00C52AAD"/>
    <w:rsid w:val="00C54DA5"/>
    <w:rsid w:val="00C55C8B"/>
    <w:rsid w:val="00C62CFF"/>
    <w:rsid w:val="00C7202F"/>
    <w:rsid w:val="00C935E5"/>
    <w:rsid w:val="00CB1859"/>
    <w:rsid w:val="00CC0EF6"/>
    <w:rsid w:val="00CE1152"/>
    <w:rsid w:val="00CE57B5"/>
    <w:rsid w:val="00CF08D1"/>
    <w:rsid w:val="00CF4DAF"/>
    <w:rsid w:val="00D129BA"/>
    <w:rsid w:val="00D141D0"/>
    <w:rsid w:val="00D1496F"/>
    <w:rsid w:val="00D15B35"/>
    <w:rsid w:val="00D2680B"/>
    <w:rsid w:val="00D32990"/>
    <w:rsid w:val="00D45E05"/>
    <w:rsid w:val="00D5654B"/>
    <w:rsid w:val="00D57998"/>
    <w:rsid w:val="00D61B41"/>
    <w:rsid w:val="00D64A89"/>
    <w:rsid w:val="00D6715C"/>
    <w:rsid w:val="00D76BAE"/>
    <w:rsid w:val="00D76F12"/>
    <w:rsid w:val="00D837E2"/>
    <w:rsid w:val="00D9094F"/>
    <w:rsid w:val="00D91158"/>
    <w:rsid w:val="00D928B6"/>
    <w:rsid w:val="00DA1CC2"/>
    <w:rsid w:val="00DB1AD8"/>
    <w:rsid w:val="00DD7AFC"/>
    <w:rsid w:val="00DF7BDD"/>
    <w:rsid w:val="00E0718F"/>
    <w:rsid w:val="00E07FF6"/>
    <w:rsid w:val="00E1424B"/>
    <w:rsid w:val="00E155AF"/>
    <w:rsid w:val="00E34843"/>
    <w:rsid w:val="00E46B29"/>
    <w:rsid w:val="00E56F16"/>
    <w:rsid w:val="00E6147B"/>
    <w:rsid w:val="00E63525"/>
    <w:rsid w:val="00E744D9"/>
    <w:rsid w:val="00E74716"/>
    <w:rsid w:val="00E77075"/>
    <w:rsid w:val="00E77086"/>
    <w:rsid w:val="00E77160"/>
    <w:rsid w:val="00E8387A"/>
    <w:rsid w:val="00E8713D"/>
    <w:rsid w:val="00E900F9"/>
    <w:rsid w:val="00E92C79"/>
    <w:rsid w:val="00E96CA5"/>
    <w:rsid w:val="00E9778E"/>
    <w:rsid w:val="00EA2ED5"/>
    <w:rsid w:val="00EA35DA"/>
    <w:rsid w:val="00EA62FE"/>
    <w:rsid w:val="00EB7D8C"/>
    <w:rsid w:val="00ED7867"/>
    <w:rsid w:val="00EE0B9D"/>
    <w:rsid w:val="00EF0D4C"/>
    <w:rsid w:val="00EF21A2"/>
    <w:rsid w:val="00F02761"/>
    <w:rsid w:val="00F063D4"/>
    <w:rsid w:val="00F06AE2"/>
    <w:rsid w:val="00F06CF3"/>
    <w:rsid w:val="00F244CF"/>
    <w:rsid w:val="00F4759D"/>
    <w:rsid w:val="00F63D0A"/>
    <w:rsid w:val="00F706F0"/>
    <w:rsid w:val="00F7468F"/>
    <w:rsid w:val="00F765A1"/>
    <w:rsid w:val="00F76A81"/>
    <w:rsid w:val="00F8299E"/>
    <w:rsid w:val="00F82B6E"/>
    <w:rsid w:val="00FA0B62"/>
    <w:rsid w:val="00FA0FB0"/>
    <w:rsid w:val="00FA76BE"/>
    <w:rsid w:val="00FB0507"/>
    <w:rsid w:val="00FB13BD"/>
    <w:rsid w:val="00FB2821"/>
    <w:rsid w:val="00FC2A6C"/>
    <w:rsid w:val="00FC419A"/>
    <w:rsid w:val="00FD2487"/>
    <w:rsid w:val="00FE43D5"/>
    <w:rsid w:val="00FF399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D7F71"/>
  <w15:docId w15:val="{0F0B2249-82F1-459F-975E-DB3CD9D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  <w:style w:type="paragraph" w:styleId="aa">
    <w:name w:val="Normal (Web)"/>
    <w:basedOn w:val="a"/>
    <w:uiPriority w:val="99"/>
    <w:semiHidden/>
    <w:unhideWhenUsed/>
    <w:rsid w:val="003F19D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F1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23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37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31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1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62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ell_growth" TargetMode="External"/><Relationship Id="rId13" Type="http://schemas.openxmlformats.org/officeDocument/2006/relationships/hyperlink" Target="http://en.wikipedia.org/wiki/Amino_acid" TargetMode="External"/><Relationship Id="rId18" Type="http://schemas.openxmlformats.org/officeDocument/2006/relationships/hyperlink" Target="http://en.wikipedia.org/wiki/Signal_transductio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Glycolysis" TargetMode="External"/><Relationship Id="rId7" Type="http://schemas.openxmlformats.org/officeDocument/2006/relationships/hyperlink" Target="http://en.wikipedia.org/wiki/Growth_factor" TargetMode="External"/><Relationship Id="rId12" Type="http://schemas.openxmlformats.org/officeDocument/2006/relationships/hyperlink" Target="http://en.wikipedia.org/wiki/Protein" TargetMode="External"/><Relationship Id="rId17" Type="http://schemas.openxmlformats.org/officeDocument/2006/relationships/hyperlink" Target="http://en.wikipedia.org/wiki/Tyrosine_kinase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en.wikipedia.org/wiki/Plasma_membrane" TargetMode="External"/><Relationship Id="rId20" Type="http://schemas.openxmlformats.org/officeDocument/2006/relationships/hyperlink" Target="http://en.wikipedia.org/wiki/Calciu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Dalton_(unit)" TargetMode="External"/><Relationship Id="rId24" Type="http://schemas.openxmlformats.org/officeDocument/2006/relationships/hyperlink" Target="http://en.wikipedia.org/wiki/Ge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Affinity_(pharmacology)" TargetMode="External"/><Relationship Id="rId23" Type="http://schemas.openxmlformats.org/officeDocument/2006/relationships/hyperlink" Target="http://en.wikipedia.org/wiki/Gene_express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n.wikipedia.org/wiki/Cellular_differentiation" TargetMode="External"/><Relationship Id="rId19" Type="http://schemas.openxmlformats.org/officeDocument/2006/relationships/hyperlink" Target="http://en.wikipedia.org/wiki/Biochemis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Cell_growth" TargetMode="External"/><Relationship Id="rId14" Type="http://schemas.openxmlformats.org/officeDocument/2006/relationships/hyperlink" Target="http://en.wikipedia.org/wiki/Disulfide_bond" TargetMode="External"/><Relationship Id="rId22" Type="http://schemas.openxmlformats.org/officeDocument/2006/relationships/hyperlink" Target="http://en.wikipedia.org/wiki/Protein_synthesis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이기완</dc:creator>
  <cp:lastModifiedBy>배일근</cp:lastModifiedBy>
  <cp:revision>2</cp:revision>
  <cp:lastPrinted>2022-06-22T04:44:00Z</cp:lastPrinted>
  <dcterms:created xsi:type="dcterms:W3CDTF">2022-09-27T06:50:00Z</dcterms:created>
  <dcterms:modified xsi:type="dcterms:W3CDTF">2022-09-27T06:50:00Z</dcterms:modified>
</cp:coreProperties>
</file>